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pgwk8oxk11tg"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Tabblad 1</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i w:val="1"/>
          <w:sz w:val="72"/>
          <w:szCs w:val="72"/>
        </w:rPr>
      </w:pPr>
      <w:bookmarkStart w:colFirst="0" w:colLast="0" w:name="_pka8d54764g7" w:id="1"/>
      <w:bookmarkEnd w:id="1"/>
      <w:r w:rsidDel="00000000" w:rsidR="00000000" w:rsidRPr="00000000">
        <w:rPr>
          <w:i w:val="1"/>
          <w:sz w:val="72"/>
          <w:szCs w:val="72"/>
          <w:rtl w:val="0"/>
        </w:rPr>
        <w:t xml:space="preserve">Internal Regulations</w:t>
      </w:r>
    </w:p>
    <w:p w:rsidR="00000000" w:rsidDel="00000000" w:rsidP="00000000" w:rsidRDefault="00000000" w:rsidRPr="00000000" w14:paraId="00000003">
      <w:pPr>
        <w:widowControl w:val="0"/>
        <w:spacing w:before="198.958740234375" w:line="793.9752388000488" w:lineRule="auto"/>
        <w:ind w:left="7.20001220703125" w:right="1387.19970703125" w:firstLine="0"/>
        <w:jc w:val="center"/>
        <w:rPr/>
      </w:pPr>
      <w:r w:rsidDel="00000000" w:rsidR="00000000" w:rsidRPr="00000000">
        <w:rPr>
          <w:rFonts w:ascii="Avenir" w:cs="Avenir" w:eastAsia="Avenir" w:hAnsi="Avenir"/>
          <w:sz w:val="47.52708435058594"/>
          <w:szCs w:val="47.52708435058594"/>
        </w:rPr>
        <w:drawing>
          <wp:inline distB="19050" distT="19050" distL="19050" distR="19050">
            <wp:extent cx="5691188" cy="34317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91188" cy="343172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General member assembly September 18th 2025</w:t>
      </w:r>
    </w:p>
    <w:p w:rsidR="00000000" w:rsidDel="00000000" w:rsidP="00000000" w:rsidRDefault="00000000" w:rsidRPr="00000000" w14:paraId="00000015">
      <w:pPr>
        <w:pStyle w:val="Heading1"/>
        <w:keepNext w:val="0"/>
        <w:keepLines w:val="0"/>
        <w:spacing w:before="480" w:lineRule="auto"/>
        <w:rPr>
          <w:b w:val="1"/>
          <w:sz w:val="46"/>
          <w:szCs w:val="46"/>
        </w:rPr>
      </w:pPr>
      <w:bookmarkStart w:colFirst="0" w:colLast="0" w:name="_pg5xt6e0aj8b" w:id="2"/>
      <w:bookmarkEnd w:id="2"/>
      <w:r w:rsidDel="00000000" w:rsidR="00000000" w:rsidRPr="00000000">
        <w:rPr>
          <w:b w:val="1"/>
          <w:sz w:val="46"/>
          <w:szCs w:val="46"/>
          <w:rtl w:val="0"/>
        </w:rPr>
        <w:t xml:space="preserve">Table of Contents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240" w:before="200" w:lineRule="auto"/>
        <w:rPr>
          <w:b w:val="1"/>
          <w:sz w:val="2"/>
          <w:szCs w:val="2"/>
        </w:rPr>
      </w:pPr>
      <w:r w:rsidDel="00000000" w:rsidR="00000000" w:rsidRPr="00000000">
        <w:rPr>
          <w:b w:val="1"/>
          <w:rtl w:val="0"/>
        </w:rPr>
        <w:t xml:space="preserve">Table of Contents - p.2</w:t>
        <w:br w:type="textWrapping"/>
      </w:r>
      <w:r w:rsidDel="00000000" w:rsidR="00000000" w:rsidRPr="00000000">
        <w:rPr>
          <w:rtl w:val="0"/>
        </w:rPr>
      </w:r>
    </w:p>
    <w:p w:rsidR="00000000" w:rsidDel="00000000" w:rsidP="00000000" w:rsidRDefault="00000000" w:rsidRPr="00000000" w14:paraId="00000019">
      <w:pPr>
        <w:spacing w:after="240" w:lineRule="auto"/>
        <w:rPr/>
      </w:pPr>
      <w:r w:rsidDel="00000000" w:rsidR="00000000" w:rsidRPr="00000000">
        <w:rPr>
          <w:b w:val="1"/>
          <w:rtl w:val="0"/>
        </w:rPr>
        <w:t xml:space="preserve">Chapter 1: General – p.3</w:t>
        <w:br w:type="textWrapping"/>
      </w:r>
      <w:r w:rsidDel="00000000" w:rsidR="00000000" w:rsidRPr="00000000">
        <w:rPr>
          <w:rtl w:val="0"/>
        </w:rPr>
        <w:t xml:space="preserve"> </w:t>
        <w:tab/>
        <w:t xml:space="preserve"> Article 1. The Foundation of the Internal Regulations – p.3</w:t>
      </w:r>
    </w:p>
    <w:p w:rsidR="00000000" w:rsidDel="00000000" w:rsidP="00000000" w:rsidRDefault="00000000" w:rsidRPr="00000000" w14:paraId="0000001A">
      <w:pPr>
        <w:spacing w:after="240" w:lineRule="auto"/>
        <w:rPr/>
      </w:pPr>
      <w:r w:rsidDel="00000000" w:rsidR="00000000" w:rsidRPr="00000000">
        <w:rPr>
          <w:sz w:val="2"/>
          <w:szCs w:val="2"/>
          <w:rtl w:val="0"/>
        </w:rPr>
        <w:br w:type="textWrapping"/>
      </w:r>
      <w:r w:rsidDel="00000000" w:rsidR="00000000" w:rsidRPr="00000000">
        <w:rPr>
          <w:b w:val="1"/>
          <w:rtl w:val="0"/>
        </w:rPr>
        <w:t xml:space="preserve">Chapter 2: Committees – p.3</w:t>
        <w:br w:type="textWrapping"/>
      </w:r>
      <w:r w:rsidDel="00000000" w:rsidR="00000000" w:rsidRPr="00000000">
        <w:rPr>
          <w:rtl w:val="0"/>
        </w:rPr>
        <w:tab/>
        <w:t xml:space="preserve"> </w:t>
      </w:r>
      <w:r w:rsidDel="00000000" w:rsidR="00000000" w:rsidRPr="00000000">
        <w:rPr>
          <w:rtl w:val="0"/>
        </w:rPr>
        <w:t xml:space="preserve">Article</w:t>
      </w:r>
      <w:r w:rsidDel="00000000" w:rsidR="00000000" w:rsidRPr="00000000">
        <w:rPr>
          <w:rtl w:val="0"/>
        </w:rPr>
        <w:t xml:space="preserve"> 2. Committees in General – p.3</w:t>
        <w:br w:type="textWrapping"/>
        <w:tab/>
        <w:t xml:space="preserve"> Article 3. Composition of Committees – p.3</w:t>
      </w:r>
    </w:p>
    <w:p w:rsidR="00000000" w:rsidDel="00000000" w:rsidP="00000000" w:rsidRDefault="00000000" w:rsidRPr="00000000" w14:paraId="0000001B">
      <w:pPr>
        <w:spacing w:after="240" w:lineRule="auto"/>
        <w:rPr/>
      </w:pPr>
      <w:r w:rsidDel="00000000" w:rsidR="00000000" w:rsidRPr="00000000">
        <w:rPr>
          <w:sz w:val="6"/>
          <w:szCs w:val="6"/>
          <w:rtl w:val="0"/>
        </w:rPr>
        <w:br w:type="textWrapping"/>
      </w:r>
      <w:r w:rsidDel="00000000" w:rsidR="00000000" w:rsidRPr="00000000">
        <w:rPr>
          <w:b w:val="1"/>
          <w:rtl w:val="0"/>
        </w:rPr>
        <w:t xml:space="preserve">Chapter 3: Advisory Board – p.4</w:t>
        <w:br w:type="textWrapping"/>
      </w:r>
      <w:r w:rsidDel="00000000" w:rsidR="00000000" w:rsidRPr="00000000">
        <w:rPr>
          <w:rtl w:val="0"/>
        </w:rPr>
        <w:t xml:space="preserve"> </w:t>
        <w:tab/>
        <w:t xml:space="preserve">Article 4. General Provisions on the Advisory Board – p.4</w:t>
      </w:r>
    </w:p>
    <w:p w:rsidR="00000000" w:rsidDel="00000000" w:rsidP="00000000" w:rsidRDefault="00000000" w:rsidRPr="00000000" w14:paraId="0000001C">
      <w:pPr>
        <w:spacing w:after="240" w:lineRule="auto"/>
        <w:rPr/>
      </w:pPr>
      <w:r w:rsidDel="00000000" w:rsidR="00000000" w:rsidRPr="00000000">
        <w:rPr>
          <w:sz w:val="6"/>
          <w:szCs w:val="6"/>
          <w:rtl w:val="0"/>
        </w:rPr>
        <w:br w:type="textWrapping"/>
      </w:r>
      <w:r w:rsidDel="00000000" w:rsidR="00000000" w:rsidRPr="00000000">
        <w:rPr>
          <w:b w:val="1"/>
          <w:rtl w:val="0"/>
        </w:rPr>
        <w:t xml:space="preserve">Chapter 4: Code of Conduct for the Board – p.5</w:t>
        <w:br w:type="textWrapping"/>
      </w:r>
      <w:r w:rsidDel="00000000" w:rsidR="00000000" w:rsidRPr="00000000">
        <w:rPr>
          <w:rtl w:val="0"/>
        </w:rPr>
        <w:t xml:space="preserve"> </w:t>
        <w:tab/>
        <w:t xml:space="preserve">Article 5. Validity of the Code of Conduct – p.5</w:t>
        <w:br w:type="textWrapping"/>
        <w:t xml:space="preserve"> </w:t>
        <w:tab/>
        <w:t xml:space="preserve">Article 6. Rules of Conduct for Board Members While in Function – p.5</w:t>
        <w:br w:type="textWrapping"/>
        <w:t xml:space="preserve"> </w:t>
        <w:tab/>
        <w:t xml:space="preserve">Article 7. Guidelines for Board Members While in Function – p.5</w:t>
        <w:br w:type="textWrapping"/>
        <w:t xml:space="preserve"> </w:t>
        <w:tab/>
        <w:t xml:space="preserve">Article 8. Guidelines for Board Members Outside Function – p.5</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1"/>
        <w:keepNext w:val="0"/>
        <w:keepLines w:val="0"/>
        <w:spacing w:before="480" w:lineRule="auto"/>
        <w:rPr>
          <w:b w:val="1"/>
          <w:sz w:val="26"/>
          <w:szCs w:val="26"/>
        </w:rPr>
      </w:pPr>
      <w:bookmarkStart w:colFirst="0" w:colLast="0" w:name="_hiwe321joizn" w:id="3"/>
      <w:bookmarkEnd w:id="3"/>
      <w:r w:rsidDel="00000000" w:rsidR="00000000" w:rsidRPr="00000000">
        <w:rPr>
          <w:rtl w:val="0"/>
        </w:rPr>
      </w:r>
    </w:p>
    <w:p w:rsidR="00000000" w:rsidDel="00000000" w:rsidP="00000000" w:rsidRDefault="00000000" w:rsidRPr="00000000" w14:paraId="00000034">
      <w:pPr>
        <w:spacing w:before="480" w:lineRule="auto"/>
        <w:rPr>
          <w:i w:val="1"/>
          <w:highlight w:val="yellow"/>
        </w:rPr>
      </w:pPr>
      <w:r w:rsidDel="00000000" w:rsidR="00000000" w:rsidRPr="00000000">
        <w:rPr>
          <w:b w:val="1"/>
          <w:rtl w:val="0"/>
        </w:rPr>
        <w:t xml:space="preserve">Chapter 1: General</w:t>
        <w:br w:type="textWrapping"/>
      </w:r>
      <w:r w:rsidDel="00000000" w:rsidR="00000000" w:rsidRPr="00000000">
        <w:rPr>
          <w:rtl w:val="0"/>
        </w:rPr>
        <w:t xml:space="preserve">Article</w:t>
      </w:r>
      <w:r w:rsidDel="00000000" w:rsidR="00000000" w:rsidRPr="00000000">
        <w:rPr>
          <w:rtl w:val="0"/>
        </w:rPr>
        <w:t xml:space="preserve"> 1. The Foundation of the Internal Regulations</w:t>
        <w:br w:type="textWrapping"/>
      </w:r>
      <w:r w:rsidDel="00000000" w:rsidR="00000000" w:rsidRPr="00000000">
        <w:rPr>
          <w:b w:val="1"/>
          <w:rtl w:val="0"/>
        </w:rPr>
        <w:tab/>
      </w:r>
      <w:r w:rsidDel="00000000" w:rsidR="00000000" w:rsidRPr="00000000">
        <w:rPr>
          <w:rtl w:val="0"/>
        </w:rPr>
        <w:t xml:space="preserve"> 1.1 </w:t>
        <w:tab/>
        <w:t xml:space="preserve">The Internal Regulations of Sapientia Ludenda are founded in Article 18 of </w:t>
        <w:br w:type="textWrapping"/>
        <w:tab/>
        <w:tab/>
        <w:t xml:space="preserve">the statutes.</w:t>
        <w:br w:type="textWrapping"/>
        <w:t xml:space="preserve"> </w:t>
        <w:tab/>
        <w:t xml:space="preserve">1.2 </w:t>
        <w:tab/>
        <w:t xml:space="preserve">The Internal Regulations must never conflict with the statutes or the law.</w:t>
        <w:br w:type="textWrapping"/>
        <w:tab/>
        <w:t xml:space="preserve">1.3 </w:t>
        <w:tab/>
        <w:t xml:space="preserve">Amendments to the Internal Regulations can only occur through a resolution </w:t>
        <w:br w:type="textWrapping"/>
        <w:tab/>
        <w:tab/>
        <w:t xml:space="preserve">passed by the General Assembly, which must be convened with the notice </w:t>
        <w:br w:type="textWrapping"/>
        <w:tab/>
        <w:tab/>
        <w:t xml:space="preserve">that a proposal to amend the regulations will be presented.</w:t>
        <w:br w:type="textWrapping"/>
        <w:tab/>
        <w:t xml:space="preserve">1.4 </w:t>
        <w:tab/>
        <w:t xml:space="preserve">Those who call the General Assembly to consider a proposal to amend the </w:t>
        <w:br w:type="textWrapping"/>
        <w:tab/>
        <w:tab/>
        <w:t xml:space="preserve">statutes must make a copy of the proposal, including the full text of the </w:t>
        <w:br w:type="textWrapping"/>
        <w:tab/>
        <w:tab/>
        <w:t xml:space="preserve">proposed amendments, available for inspection by the members at a suitable </w:t>
        <w:br w:type="textWrapping"/>
        <w:tab/>
        <w:tab/>
        <w:t xml:space="preserve">location for at least five days prior to the meeting and until after the meeting </w:t>
        <w:br w:type="textWrapping"/>
        <w:tab/>
        <w:tab/>
        <w:t xml:space="preserve">has taken place.</w:t>
        <w:br w:type="textWrapping"/>
        <w:tab/>
        <w:t xml:space="preserve">1.5 </w:t>
        <w:tab/>
        <w:t xml:space="preserve">The provisions in paragraphs 3 and 4 do not apply if all voting members are </w:t>
        <w:br w:type="textWrapping"/>
        <w:tab/>
        <w:tab/>
        <w:t xml:space="preserve">present or represented at the General Assembly and the resolution to amend </w:t>
        <w:br w:type="textWrapping"/>
        <w:tab/>
        <w:tab/>
      </w:r>
      <w:r w:rsidDel="00000000" w:rsidR="00000000" w:rsidRPr="00000000">
        <w:rPr>
          <w:rtl w:val="0"/>
        </w:rPr>
        <w:t xml:space="preserve">the </w:t>
      </w:r>
      <w:r w:rsidDel="00000000" w:rsidR="00000000" w:rsidRPr="00000000">
        <w:rPr>
          <w:rtl w:val="0"/>
        </w:rPr>
        <w:t xml:space="preserve">regulations is passed unanimously.</w:t>
      </w:r>
      <w:r w:rsidDel="00000000" w:rsidR="00000000" w:rsidRPr="00000000">
        <w:rPr>
          <w:rtl w:val="0"/>
        </w:rPr>
      </w:r>
    </w:p>
    <w:p w:rsidR="00000000" w:rsidDel="00000000" w:rsidP="00000000" w:rsidRDefault="00000000" w:rsidRPr="00000000" w14:paraId="00000035">
      <w:pPr>
        <w:spacing w:after="240" w:before="240" w:lineRule="auto"/>
        <w:rPr>
          <w:b w:val="1"/>
          <w:sz w:val="24"/>
          <w:szCs w:val="24"/>
        </w:rPr>
      </w:pPr>
      <w:r w:rsidDel="00000000" w:rsidR="00000000" w:rsidRPr="00000000">
        <w:rPr>
          <w:b w:val="1"/>
          <w:sz w:val="24"/>
          <w:szCs w:val="24"/>
          <w:rtl w:val="0"/>
        </w:rPr>
        <w:t xml:space="preserve">Chapter 2: Committees</w:t>
      </w:r>
    </w:p>
    <w:p w:rsidR="00000000" w:rsidDel="00000000" w:rsidP="00000000" w:rsidRDefault="00000000" w:rsidRPr="00000000" w14:paraId="00000036">
      <w:pPr>
        <w:spacing w:after="240" w:before="240" w:lineRule="auto"/>
        <w:rPr/>
      </w:pPr>
      <w:r w:rsidDel="00000000" w:rsidR="00000000" w:rsidRPr="00000000">
        <w:rPr>
          <w:b w:val="1"/>
          <w:rtl w:val="0"/>
        </w:rPr>
        <w:t xml:space="preserve">Article 2. Committees in General</w:t>
        <w:br w:type="textWrapping"/>
        <w:tab/>
      </w:r>
      <w:r w:rsidDel="00000000" w:rsidR="00000000" w:rsidRPr="00000000">
        <w:rPr>
          <w:rtl w:val="0"/>
        </w:rPr>
        <w:t xml:space="preserve"> 2.1 </w:t>
        <w:tab/>
      </w:r>
      <w:r w:rsidDel="00000000" w:rsidR="00000000" w:rsidRPr="00000000">
        <w:rPr>
          <w:rtl w:val="0"/>
        </w:rPr>
        <w:t xml:space="preserve">Sapientia Ludenda has six committees: the gala committee, the travel  </w:t>
        <w:br w:type="textWrapping"/>
        <w:tab/>
        <w:tab/>
        <w:t xml:space="preserve">committee, the first years committee, the (pre)master committee, the cash </w:t>
        <w:br w:type="textWrapping"/>
        <w:tab/>
        <w:tab/>
        <w:t xml:space="preserve">audit committee and the social committee.</w:t>
      </w:r>
      <w:r w:rsidDel="00000000" w:rsidR="00000000" w:rsidRPr="00000000">
        <w:rPr>
          <w:i w:val="1"/>
          <w:highlight w:val="yellow"/>
          <w:rtl w:val="0"/>
        </w:rPr>
        <w:br w:type="textWrapping"/>
      </w:r>
      <w:r w:rsidDel="00000000" w:rsidR="00000000" w:rsidRPr="00000000">
        <w:rPr>
          <w:rtl w:val="0"/>
        </w:rPr>
        <w:tab/>
        <w:t xml:space="preserve"> 2.2 </w:t>
        <w:tab/>
        <w:t xml:space="preserve">Each committee has its own designated tasks:</w:t>
      </w:r>
    </w:p>
    <w:p w:rsidR="00000000" w:rsidDel="00000000" w:rsidP="00000000" w:rsidRDefault="00000000" w:rsidRPr="00000000" w14:paraId="00000037">
      <w:pPr>
        <w:numPr>
          <w:ilvl w:val="0"/>
          <w:numId w:val="2"/>
        </w:numPr>
        <w:spacing w:after="0" w:afterAutospacing="0" w:before="240" w:lineRule="auto"/>
        <w:ind w:left="2160" w:hanging="360"/>
      </w:pPr>
      <w:r w:rsidDel="00000000" w:rsidR="00000000" w:rsidRPr="00000000">
        <w:rPr>
          <w:rtl w:val="0"/>
        </w:rPr>
        <w:t xml:space="preserve">The Gala Committee is responsible for organizing one gala per academic year, including related promotion and sponsorship.</w:t>
      </w:r>
    </w:p>
    <w:p w:rsidR="00000000" w:rsidDel="00000000" w:rsidP="00000000" w:rsidRDefault="00000000" w:rsidRPr="00000000" w14:paraId="00000038">
      <w:pPr>
        <w:numPr>
          <w:ilvl w:val="0"/>
          <w:numId w:val="2"/>
        </w:numPr>
        <w:spacing w:after="0" w:afterAutospacing="0" w:before="0" w:beforeAutospacing="0" w:lineRule="auto"/>
        <w:ind w:left="2160" w:hanging="360"/>
      </w:pPr>
      <w:r w:rsidDel="00000000" w:rsidR="00000000" w:rsidRPr="00000000">
        <w:rPr>
          <w:rtl w:val="0"/>
        </w:rPr>
        <w:t xml:space="preserve">The Travel Committee is responsible for organizing one study trip per academic year, including related promotion and sponsorship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numPr>
          <w:ilvl w:val="0"/>
          <w:numId w:val="2"/>
        </w:numPr>
        <w:spacing w:after="0" w:afterAutospacing="0" w:before="0" w:beforeAutospacing="0" w:lineRule="auto"/>
        <w:ind w:left="2160" w:hanging="360"/>
      </w:pPr>
      <w:r w:rsidDel="00000000" w:rsidR="00000000" w:rsidRPr="00000000">
        <w:rPr>
          <w:rtl w:val="0"/>
        </w:rPr>
        <w:t xml:space="preserve">The first-year committee is responsible for organizing an event twice per academic year and for providing the associated promotion and sponsorship.</w:t>
      </w:r>
    </w:p>
    <w:p w:rsidR="00000000" w:rsidDel="00000000" w:rsidP="00000000" w:rsidRDefault="00000000" w:rsidRPr="00000000" w14:paraId="0000003A">
      <w:pPr>
        <w:numPr>
          <w:ilvl w:val="0"/>
          <w:numId w:val="2"/>
        </w:numPr>
        <w:spacing w:after="0" w:afterAutospacing="0" w:before="0" w:beforeAutospacing="0" w:lineRule="auto"/>
        <w:ind w:left="2160" w:hanging="360"/>
      </w:pPr>
      <w:r w:rsidDel="00000000" w:rsidR="00000000" w:rsidRPr="00000000">
        <w:rPr>
          <w:rtl w:val="0"/>
        </w:rPr>
        <w:t xml:space="preserve">The (pre-)master committee is responsible for fostering a sense of community among philosophy master and pre-master students. They do so by managing the master group chat and organizing activities and events.</w:t>
      </w:r>
    </w:p>
    <w:p w:rsidR="00000000" w:rsidDel="00000000" w:rsidP="00000000" w:rsidRDefault="00000000" w:rsidRPr="00000000" w14:paraId="0000003B">
      <w:pPr>
        <w:numPr>
          <w:ilvl w:val="0"/>
          <w:numId w:val="2"/>
        </w:numPr>
        <w:spacing w:after="0" w:afterAutospacing="0" w:before="0" w:beforeAutospacing="0" w:lineRule="auto"/>
        <w:ind w:left="2160" w:hanging="360"/>
      </w:pPr>
      <w:r w:rsidDel="00000000" w:rsidR="00000000" w:rsidRPr="00000000">
        <w:rPr>
          <w:rtl w:val="0"/>
        </w:rPr>
        <w:t xml:space="preserve">The cash audit committee is responsible for checking the financial administration of the treasurer and checking whether all the expenses and income can be justified. The committee meets at least twice a year to audit the administration and must approve it and the final annual report before it can be presented at the GMA.</w:t>
      </w:r>
    </w:p>
    <w:p w:rsidR="00000000" w:rsidDel="00000000" w:rsidP="00000000" w:rsidRDefault="00000000" w:rsidRPr="00000000" w14:paraId="0000003C">
      <w:pPr>
        <w:numPr>
          <w:ilvl w:val="0"/>
          <w:numId w:val="2"/>
        </w:numPr>
        <w:spacing w:after="240" w:before="0" w:beforeAutospacing="0" w:lineRule="auto"/>
        <w:ind w:left="2160" w:hanging="360"/>
      </w:pPr>
      <w:r w:rsidDel="00000000" w:rsidR="00000000" w:rsidRPr="00000000">
        <w:rPr>
          <w:rtl w:val="0"/>
        </w:rPr>
        <w:t xml:space="preserve">The social committee is responsible for taking and collecting pictures at events, and making posts for the internal Sapi instagram page. These pictures can also be used for other promotional purposes, for example on the website.</w:t>
      </w:r>
    </w:p>
    <w:p w:rsidR="00000000" w:rsidDel="00000000" w:rsidP="00000000" w:rsidRDefault="00000000" w:rsidRPr="00000000" w14:paraId="0000003D">
      <w:pPr>
        <w:spacing w:after="240" w:before="240" w:lineRule="auto"/>
        <w:ind w:firstLine="720"/>
        <w:rPr/>
      </w:pPr>
      <w:r w:rsidDel="00000000" w:rsidR="00000000" w:rsidRPr="00000000">
        <w:rPr>
          <w:rtl w:val="0"/>
        </w:rPr>
        <w:t xml:space="preserve">2.3 </w:t>
        <w:tab/>
        <w:t xml:space="preserve">Each committee has a similar composition, as further described in these </w:t>
        <w:br w:type="textWrapping"/>
        <w:tab/>
        <w:tab/>
        <w:t xml:space="preserve">regulations.</w:t>
        <w:br w:type="textWrapping"/>
        <w:tab/>
        <w:t xml:space="preserve"> 2.4 </w:t>
        <w:tab/>
        <w:t xml:space="preserve">Each committee is dissolved when its task has been completed, at the latest </w:t>
        <w:br w:type="textWrapping"/>
        <w:tab/>
        <w:tab/>
        <w:t xml:space="preserve">by the beginning of the academic year following its formation.</w:t>
        <w:br w:type="textWrapping"/>
        <w:tab/>
        <w:t xml:space="preserve"> 2.6 </w:t>
        <w:tab/>
        <w:t xml:space="preserve">Each committee must share its findings, actions, and problems with the </w:t>
        <w:br w:type="textWrapping"/>
        <w:tab/>
        <w:tab/>
        <w:t xml:space="preserve">board.</w:t>
        <w:br w:type="textWrapping"/>
        <w:tab/>
        <w:t xml:space="preserve"> 2.7 </w:t>
        <w:tab/>
        <w:t xml:space="preserve">The board may establish temporary committees if it deems necessary.</w:t>
      </w:r>
    </w:p>
    <w:p w:rsidR="00000000" w:rsidDel="00000000" w:rsidP="00000000" w:rsidRDefault="00000000" w:rsidRPr="00000000" w14:paraId="0000003E">
      <w:pPr>
        <w:spacing w:after="240" w:before="240" w:lineRule="auto"/>
        <w:rPr/>
      </w:pPr>
      <w:r w:rsidDel="00000000" w:rsidR="00000000" w:rsidRPr="00000000">
        <w:rPr>
          <w:b w:val="1"/>
          <w:rtl w:val="0"/>
        </w:rPr>
        <w:t xml:space="preserve">Article 3. Composition of Committees</w:t>
        <w:br w:type="textWrapping"/>
      </w:r>
      <w:r w:rsidDel="00000000" w:rsidR="00000000" w:rsidRPr="00000000">
        <w:rPr>
          <w:rtl w:val="0"/>
        </w:rPr>
        <w:t xml:space="preserve"> </w:t>
        <w:tab/>
        <w:t xml:space="preserve">3.1 </w:t>
        <w:tab/>
        <w:t xml:space="preserve">Each committee is overseen by a board member acting as an auditor. The </w:t>
        <w:br w:type="textWrapping"/>
        <w:tab/>
        <w:tab/>
        <w:t xml:space="preserve">board decides who will serve in this role.</w:t>
        <w:br w:type="textWrapping"/>
        <w:tab/>
        <w:t xml:space="preserve"> 3.2 </w:t>
        <w:tab/>
        <w:t xml:space="preserve">In addition to the auditor, other board members may join a committee if </w:t>
        <w:br w:type="textWrapping"/>
        <w:tab/>
        <w:tab/>
        <w:t xml:space="preserve">deemed desirable.</w:t>
        <w:br w:type="textWrapping"/>
        <w:tab/>
        <w:t xml:space="preserve"> 3.3 </w:t>
        <w:tab/>
        <w:t xml:space="preserve">The auditor is responsible for recruiting, appointing, and dismissing </w:t>
        <w:br w:type="textWrapping"/>
        <w:tab/>
        <w:tab/>
        <w:t xml:space="preserve">committee members.</w:t>
        <w:br w:type="textWrapping"/>
        <w:tab/>
        <w:t xml:space="preserve"> 3.4 </w:t>
        <w:tab/>
        <w:t xml:space="preserve">If the auditor deems it appropriate, they may appoint a chairperson from </w:t>
        <w:br w:type="textWrapping"/>
        <w:tab/>
        <w:tab/>
        <w:t xml:space="preserve">among the committee members.</w:t>
        <w:br w:type="textWrapping"/>
        <w:tab/>
        <w:t xml:space="preserve"> 3.5 </w:t>
        <w:tab/>
        <w:t xml:space="preserve">If a committee chairperson is appointed, they will have the following tasks and </w:t>
        <w:br w:type="textWrapping"/>
        <w:tab/>
        <w:tab/>
        <w:t xml:space="preserve">responsibilities: </w:t>
      </w:r>
    </w:p>
    <w:p w:rsidR="00000000" w:rsidDel="00000000" w:rsidP="00000000" w:rsidRDefault="00000000" w:rsidRPr="00000000" w14:paraId="0000003F">
      <w:pPr>
        <w:numPr>
          <w:ilvl w:val="0"/>
          <w:numId w:val="4"/>
        </w:numPr>
        <w:spacing w:after="0" w:afterAutospacing="0" w:before="240" w:lineRule="auto"/>
        <w:ind w:left="2160" w:hanging="360"/>
      </w:pPr>
      <w:r w:rsidDel="00000000" w:rsidR="00000000" w:rsidRPr="00000000">
        <w:rPr>
          <w:rtl w:val="0"/>
        </w:rPr>
        <w:t xml:space="preserve">Chairing committee meetings.</w:t>
      </w:r>
    </w:p>
    <w:p w:rsidR="00000000" w:rsidDel="00000000" w:rsidP="00000000" w:rsidRDefault="00000000" w:rsidRPr="00000000" w14:paraId="00000040">
      <w:pPr>
        <w:numPr>
          <w:ilvl w:val="0"/>
          <w:numId w:val="4"/>
        </w:numPr>
        <w:spacing w:after="0" w:afterAutospacing="0" w:before="0" w:beforeAutospacing="0" w:lineRule="auto"/>
        <w:ind w:left="2160" w:hanging="360"/>
      </w:pPr>
      <w:r w:rsidDel="00000000" w:rsidR="00000000" w:rsidRPr="00000000">
        <w:rPr>
          <w:rtl w:val="0"/>
        </w:rPr>
        <w:t xml:space="preserve">Attending board meetings at the request of the board.</w:t>
      </w:r>
    </w:p>
    <w:p w:rsidR="00000000" w:rsidDel="00000000" w:rsidP="00000000" w:rsidRDefault="00000000" w:rsidRPr="00000000" w14:paraId="00000041">
      <w:pPr>
        <w:numPr>
          <w:ilvl w:val="0"/>
          <w:numId w:val="4"/>
        </w:numPr>
        <w:spacing w:after="0" w:afterAutospacing="0" w:before="0" w:beforeAutospacing="0" w:lineRule="auto"/>
        <w:ind w:left="2160" w:hanging="360"/>
      </w:pPr>
      <w:r w:rsidDel="00000000" w:rsidR="00000000" w:rsidRPr="00000000">
        <w:rPr>
          <w:rtl w:val="0"/>
        </w:rPr>
        <w:t xml:space="preserve">Reporting to the General Assembly upon request.</w:t>
      </w:r>
    </w:p>
    <w:p w:rsidR="00000000" w:rsidDel="00000000" w:rsidP="00000000" w:rsidRDefault="00000000" w:rsidRPr="00000000" w14:paraId="00000042">
      <w:pPr>
        <w:numPr>
          <w:ilvl w:val="0"/>
          <w:numId w:val="4"/>
        </w:numPr>
        <w:spacing w:after="240" w:before="0" w:beforeAutospacing="0" w:lineRule="auto"/>
        <w:ind w:left="2160" w:hanging="360"/>
      </w:pPr>
      <w:r w:rsidDel="00000000" w:rsidR="00000000" w:rsidRPr="00000000">
        <w:rPr>
          <w:rtl w:val="0"/>
        </w:rPr>
        <w:t xml:space="preserve">Supporting the auditor where necessary, possible, and desired.</w:t>
      </w:r>
    </w:p>
    <w:p w:rsidR="00000000" w:rsidDel="00000000" w:rsidP="00000000" w:rsidRDefault="00000000" w:rsidRPr="00000000" w14:paraId="00000043">
      <w:pPr>
        <w:spacing w:after="240" w:before="240" w:lineRule="auto"/>
        <w:ind w:firstLine="720"/>
        <w:rPr/>
      </w:pPr>
      <w:r w:rsidDel="00000000" w:rsidR="00000000" w:rsidRPr="00000000">
        <w:rPr>
          <w:rtl w:val="0"/>
        </w:rPr>
        <w:t xml:space="preserve">3.6 </w:t>
        <w:tab/>
        <w:t xml:space="preserve">If no chairperson is appointed, the tasks and responsibilities of the </w:t>
        <w:br w:type="textWrapping"/>
        <w:tab/>
        <w:tab/>
        <w:t xml:space="preserve">chairperson will fall to the auditor.</w:t>
      </w:r>
    </w:p>
    <w:p w:rsidR="00000000" w:rsidDel="00000000" w:rsidP="00000000" w:rsidRDefault="00000000" w:rsidRPr="00000000" w14:paraId="00000044">
      <w:pPr>
        <w:spacing w:after="240" w:before="240" w:lineRule="auto"/>
        <w:rPr>
          <w:b w:val="1"/>
        </w:rPr>
      </w:pPr>
      <w:r w:rsidDel="00000000" w:rsidR="00000000" w:rsidRPr="00000000">
        <w:rPr>
          <w:b w:val="1"/>
          <w:rtl w:val="0"/>
        </w:rPr>
        <w:t xml:space="preserve">Chapter 3: Advisory Board</w:t>
      </w:r>
    </w:p>
    <w:p w:rsidR="00000000" w:rsidDel="00000000" w:rsidP="00000000" w:rsidRDefault="00000000" w:rsidRPr="00000000" w14:paraId="00000045">
      <w:pPr>
        <w:spacing w:after="240" w:before="240" w:lineRule="auto"/>
        <w:rPr/>
      </w:pPr>
      <w:r w:rsidDel="00000000" w:rsidR="00000000" w:rsidRPr="00000000">
        <w:rPr>
          <w:b w:val="1"/>
          <w:rtl w:val="0"/>
        </w:rPr>
        <w:t xml:space="preserve">Article 4. General Provisions on the Advisory Board</w:t>
        <w:br w:type="textWrapping"/>
        <w:tab/>
      </w:r>
      <w:r w:rsidDel="00000000" w:rsidR="00000000" w:rsidRPr="00000000">
        <w:rPr>
          <w:rtl w:val="0"/>
        </w:rPr>
        <w:t xml:space="preserve">4.1 </w:t>
        <w:tab/>
        <w:t xml:space="preserve">Sapientia Ludenda has an Advisory Board.</w:t>
        <w:br w:type="textWrapping"/>
        <w:t xml:space="preserve"> </w:t>
        <w:tab/>
        <w:t xml:space="preserve">4.2 </w:t>
        <w:tab/>
        <w:t xml:space="preserve">The Advisory Board shall in principle consist of at least three members.</w:t>
        <w:br w:type="textWrapping"/>
        <w:t xml:space="preserve"> </w:t>
        <w:tab/>
        <w:t xml:space="preserve">4.3 </w:t>
        <w:tab/>
        <w:t xml:space="preserve">The task of the Advisory Board includes overseeing the board in the broadest </w:t>
        <w:br w:type="textWrapping"/>
        <w:tab/>
        <w:tab/>
        <w:t xml:space="preserve">sense, as well as providing both solicited and unsolicited advice to the board </w:t>
        <w:br w:type="textWrapping"/>
        <w:tab/>
        <w:tab/>
        <w:t xml:space="preserve">and the General Assembly. In addition, the Advisory Board will meet at least </w:t>
        <w:br w:type="textWrapping"/>
        <w:tab/>
        <w:tab/>
        <w:t xml:space="preserve">twice per year to discuss the state of affairs within the association and share </w:t>
        <w:br w:type="textWrapping"/>
        <w:tab/>
        <w:tab/>
        <w:t xml:space="preserve">a report of this meeting with the board.</w:t>
        <w:br w:type="textWrapping"/>
        <w:tab/>
        <w:t xml:space="preserve"> 4.4 </w:t>
        <w:tab/>
        <w:t xml:space="preserve">The board is required to respond to written advice from the Advisory Board </w:t>
        <w:br w:type="textWrapping"/>
        <w:tab/>
        <w:tab/>
        <w:t xml:space="preserve">within twenty-one days. If the board fails to respond on time, the Advisory </w:t>
        <w:br w:type="textWrapping"/>
        <w:tab/>
        <w:tab/>
        <w:t xml:space="preserve">Board may compel the board to hold a General Assembly.</w:t>
        <w:br w:type="textWrapping"/>
        <w:t xml:space="preserve"> </w:t>
        <w:tab/>
        <w:t xml:space="preserve">4.5 </w:t>
        <w:tab/>
        <w:t xml:space="preserve">If the majority of the Advisory Board members believes a General Assembly </w:t>
        <w:br w:type="textWrapping"/>
        <w:tab/>
        <w:tab/>
        <w:t xml:space="preserve">should be held to inform the members of its findings, it may request the board </w:t>
        <w:br w:type="textWrapping"/>
        <w:tab/>
        <w:tab/>
        <w:t xml:space="preserve">to convene one.</w:t>
        <w:br w:type="textWrapping"/>
        <w:tab/>
        <w:t xml:space="preserve"> 4.6 </w:t>
        <w:tab/>
        <w:t xml:space="preserve">Members of the Advisory Board are appointed by the General Assembly for a </w:t>
        <w:br w:type="textWrapping"/>
        <w:tab/>
        <w:tab/>
        <w:t xml:space="preserve">maximum </w:t>
      </w:r>
      <w:r w:rsidDel="00000000" w:rsidR="00000000" w:rsidRPr="00000000">
        <w:rPr>
          <w:rtl w:val="0"/>
        </w:rPr>
        <w:t xml:space="preserve">term of one year</w:t>
      </w:r>
      <w:r w:rsidDel="00000000" w:rsidR="00000000" w:rsidRPr="00000000">
        <w:rPr>
          <w:rtl w:val="0"/>
        </w:rPr>
        <w:t xml:space="preserve">, from a binding nomination drawn up by the </w:t>
        <w:br w:type="textWrapping"/>
        <w:tab/>
        <w:tab/>
        <w:t xml:space="preserve">board in cooperation with the relevant body. The binding nature of this </w:t>
        <w:br w:type="textWrapping"/>
        <w:tab/>
        <w:tab/>
        <w:t xml:space="preserve">nomination may be revoked by a resolution adopted by at least two-thirds of </w:t>
        <w:br w:type="textWrapping"/>
        <w:tab/>
        <w:tab/>
        <w:t xml:space="preserve">the votes cast in a meeting where at least one-quarter of the members are </w:t>
        <w:br w:type="textWrapping"/>
        <w:tab/>
        <w:tab/>
        <w:t xml:space="preserve">present or represented. If such quorum is not met, a new meeting shall be </w:t>
        <w:br w:type="textWrapping"/>
        <w:tab/>
        <w:tab/>
        <w:t xml:space="preserve">convened where decisions can be made regardless of the number of </w:t>
        <w:br w:type="textWrapping"/>
        <w:tab/>
        <w:tab/>
        <w:t xml:space="preserve">members present or represented.</w:t>
        <w:br w:type="textWrapping"/>
        <w:t xml:space="preserve"> </w:t>
        <w:tab/>
        <w:t xml:space="preserve">4.7 </w:t>
        <w:tab/>
        <w:t xml:space="preserve">Members of the Advisory Board may be:</w:t>
      </w:r>
    </w:p>
    <w:p w:rsidR="00000000" w:rsidDel="00000000" w:rsidP="00000000" w:rsidRDefault="00000000" w:rsidRPr="00000000" w14:paraId="00000046">
      <w:pPr>
        <w:numPr>
          <w:ilvl w:val="0"/>
          <w:numId w:val="1"/>
        </w:numPr>
        <w:spacing w:after="0" w:afterAutospacing="0" w:before="240" w:lineRule="auto"/>
        <w:ind w:left="2160" w:hanging="360"/>
      </w:pPr>
      <w:r w:rsidDel="00000000" w:rsidR="00000000" w:rsidRPr="00000000">
        <w:rPr>
          <w:rtl w:val="0"/>
        </w:rPr>
        <w:t xml:space="preserve">Persons who have served</w:t>
      </w:r>
      <w:r w:rsidDel="00000000" w:rsidR="00000000" w:rsidRPr="00000000">
        <w:rPr>
          <w:rtl w:val="0"/>
        </w:rPr>
        <w:t xml:space="preserve"> on a board</w:t>
      </w:r>
      <w:r w:rsidDel="00000000" w:rsidR="00000000" w:rsidRPr="00000000">
        <w:rPr>
          <w:rtl w:val="0"/>
        </w:rPr>
        <w:t xml:space="preserve"> for at least six consecutive months.</w:t>
      </w:r>
    </w:p>
    <w:p w:rsidR="00000000" w:rsidDel="00000000" w:rsidP="00000000" w:rsidRDefault="00000000" w:rsidRPr="00000000" w14:paraId="00000047">
      <w:pPr>
        <w:numPr>
          <w:ilvl w:val="0"/>
          <w:numId w:val="1"/>
        </w:numPr>
        <w:spacing w:after="0" w:afterAutospacing="0" w:before="0" w:beforeAutospacing="0" w:lineRule="auto"/>
        <w:ind w:left="2160" w:hanging="360"/>
      </w:pPr>
      <w:r w:rsidDel="00000000" w:rsidR="00000000" w:rsidRPr="00000000">
        <w:rPr>
          <w:rtl w:val="0"/>
        </w:rPr>
        <w:t xml:space="preserve">Honorary members.</w:t>
      </w:r>
    </w:p>
    <w:p w:rsidR="00000000" w:rsidDel="00000000" w:rsidP="00000000" w:rsidRDefault="00000000" w:rsidRPr="00000000" w14:paraId="00000048">
      <w:pPr>
        <w:numPr>
          <w:ilvl w:val="0"/>
          <w:numId w:val="1"/>
        </w:numPr>
        <w:spacing w:after="0" w:afterAutospacing="0" w:before="0" w:beforeAutospacing="0" w:lineRule="auto"/>
        <w:ind w:left="2160" w:hanging="360"/>
      </w:pPr>
      <w:r w:rsidDel="00000000" w:rsidR="00000000" w:rsidRPr="00000000">
        <w:rPr>
          <w:rtl w:val="0"/>
        </w:rPr>
        <w:t xml:space="preserve">Current board members are excluded from membership of the Advisory Board.</w:t>
      </w:r>
    </w:p>
    <w:p w:rsidR="00000000" w:rsidDel="00000000" w:rsidP="00000000" w:rsidRDefault="00000000" w:rsidRPr="00000000" w14:paraId="00000049">
      <w:pPr>
        <w:numPr>
          <w:ilvl w:val="0"/>
          <w:numId w:val="1"/>
        </w:numPr>
        <w:spacing w:after="240" w:before="0" w:beforeAutospacing="0" w:lineRule="auto"/>
        <w:ind w:left="2160" w:hanging="360"/>
      </w:pPr>
      <w:r w:rsidDel="00000000" w:rsidR="00000000" w:rsidRPr="00000000">
        <w:rPr>
          <w:rtl w:val="0"/>
        </w:rPr>
        <w:t xml:space="preserve">At least one former Sapientia Ludenda board member</w:t>
      </w:r>
    </w:p>
    <w:p w:rsidR="00000000" w:rsidDel="00000000" w:rsidP="00000000" w:rsidRDefault="00000000" w:rsidRPr="00000000" w14:paraId="0000004A">
      <w:pPr>
        <w:spacing w:after="240" w:before="240" w:lineRule="auto"/>
        <w:ind w:firstLine="720"/>
        <w:rPr/>
      </w:pPr>
      <w:r w:rsidDel="00000000" w:rsidR="00000000" w:rsidRPr="00000000">
        <w:rPr>
          <w:rtl w:val="0"/>
        </w:rPr>
        <w:t xml:space="preserve"> 4.8 </w:t>
        <w:tab/>
        <w:t xml:space="preserve">Membership of the Advisory Board ends upon:</w:t>
      </w:r>
    </w:p>
    <w:p w:rsidR="00000000" w:rsidDel="00000000" w:rsidP="00000000" w:rsidRDefault="00000000" w:rsidRPr="00000000" w14:paraId="0000004B">
      <w:pPr>
        <w:numPr>
          <w:ilvl w:val="0"/>
          <w:numId w:val="3"/>
        </w:numPr>
        <w:spacing w:after="0" w:afterAutospacing="0" w:before="240" w:lineRule="auto"/>
        <w:ind w:left="2160" w:hanging="360"/>
      </w:pPr>
      <w:r w:rsidDel="00000000" w:rsidR="00000000" w:rsidRPr="00000000">
        <w:rPr>
          <w:rtl w:val="0"/>
        </w:rPr>
        <w:t xml:space="preserve">Resignation from the position.</w:t>
      </w:r>
    </w:p>
    <w:p w:rsidR="00000000" w:rsidDel="00000000" w:rsidP="00000000" w:rsidRDefault="00000000" w:rsidRPr="00000000" w14:paraId="0000004C">
      <w:pPr>
        <w:numPr>
          <w:ilvl w:val="0"/>
          <w:numId w:val="3"/>
        </w:numPr>
        <w:spacing w:after="0" w:afterAutospacing="0" w:before="0" w:beforeAutospacing="0" w:lineRule="auto"/>
        <w:ind w:left="2160" w:hanging="360"/>
      </w:pPr>
      <w:r w:rsidDel="00000000" w:rsidR="00000000" w:rsidRPr="00000000">
        <w:rPr>
          <w:rtl w:val="0"/>
        </w:rPr>
        <w:t xml:space="preserve">Termination or suspension of membership.</w:t>
      </w:r>
    </w:p>
    <w:p w:rsidR="00000000" w:rsidDel="00000000" w:rsidP="00000000" w:rsidRDefault="00000000" w:rsidRPr="00000000" w14:paraId="0000004D">
      <w:pPr>
        <w:numPr>
          <w:ilvl w:val="0"/>
          <w:numId w:val="3"/>
        </w:numPr>
        <w:spacing w:after="240" w:before="0" w:beforeAutospacing="0" w:lineRule="auto"/>
        <w:ind w:left="2160" w:hanging="360"/>
      </w:pPr>
      <w:r w:rsidDel="00000000" w:rsidR="00000000" w:rsidRPr="00000000">
        <w:rPr>
          <w:rtl w:val="0"/>
        </w:rPr>
        <w:t xml:space="preserve">When the current board is terminated.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Chapter 4: Code of Conduct for the Board</w:t>
      </w:r>
    </w:p>
    <w:p w:rsidR="00000000" w:rsidDel="00000000" w:rsidP="00000000" w:rsidRDefault="00000000" w:rsidRPr="00000000" w14:paraId="0000004F">
      <w:pPr>
        <w:spacing w:after="240" w:before="240" w:lineRule="auto"/>
        <w:rPr/>
      </w:pPr>
      <w:r w:rsidDel="00000000" w:rsidR="00000000" w:rsidRPr="00000000">
        <w:rPr>
          <w:b w:val="1"/>
          <w:rtl w:val="0"/>
        </w:rPr>
        <w:t xml:space="preserve">Article 5. Validity of the Code of Conduct</w:t>
        <w:br w:type="textWrapping"/>
        <w:tab/>
      </w:r>
      <w:r w:rsidDel="00000000" w:rsidR="00000000" w:rsidRPr="00000000">
        <w:rPr>
          <w:rtl w:val="0"/>
        </w:rPr>
        <w:t xml:space="preserve">5.1 </w:t>
        <w:tab/>
        <w:t xml:space="preserve">Board members are considered to be in function when they are present at an  </w:t>
        <w:br w:type="textWrapping"/>
        <w:tab/>
        <w:tab/>
        <w:t xml:space="preserve">event organized by Sapi.</w:t>
        <w:br w:type="textWrapping"/>
        <w:tab/>
        <w:t xml:space="preserve">5.2 </w:t>
        <w:tab/>
      </w:r>
      <w:r w:rsidDel="00000000" w:rsidR="00000000" w:rsidRPr="00000000">
        <w:rPr>
          <w:rtl w:val="0"/>
        </w:rPr>
        <w:t xml:space="preserve">Board members are in function when they are recognizable as board </w:t>
        <w:br w:type="textWrapping"/>
        <w:tab/>
        <w:tab/>
        <w:t xml:space="preserve">members by specific Sapi clothing</w:t>
      </w:r>
      <w:r w:rsidDel="00000000" w:rsidR="00000000" w:rsidRPr="00000000">
        <w:rPr>
          <w:rtl w:val="0"/>
        </w:rPr>
        <w:t xml:space="preserve">.</w:t>
        <w:br w:type="textWrapping"/>
        <w:t xml:space="preserve"> </w:t>
        <w:tab/>
        <w:t xml:space="preserve">5.3 </w:t>
        <w:tab/>
        <w:t xml:space="preserve">Board members are in function when they represent Sapi by attending events </w:t>
        <w:br w:type="textWrapping"/>
        <w:tab/>
        <w:tab/>
        <w:t xml:space="preserve">or meetings organized by other parties in their capacity as board members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0">
      <w:pPr>
        <w:spacing w:after="240" w:before="240" w:lineRule="auto"/>
        <w:rPr>
          <w:i w:val="1"/>
          <w:highlight w:val="yellow"/>
        </w:rPr>
      </w:pPr>
      <w:r w:rsidDel="00000000" w:rsidR="00000000" w:rsidRPr="00000000">
        <w:rPr>
          <w:b w:val="1"/>
          <w:rtl w:val="0"/>
        </w:rPr>
        <w:t xml:space="preserve">Article 6. Rules of Conduct for Board Members While in Function</w:t>
        <w:br w:type="textWrapping"/>
      </w:r>
      <w:r w:rsidDel="00000000" w:rsidR="00000000" w:rsidRPr="00000000">
        <w:rPr>
          <w:rtl w:val="0"/>
        </w:rPr>
        <w:t xml:space="preserve"> </w:t>
        <w:tab/>
        <w:t xml:space="preserve">6.1 </w:t>
        <w:tab/>
        <w:t xml:space="preserve">Under no circumstances shall board members use or openly possess hard </w:t>
        <w:br w:type="textWrapping"/>
        <w:tab/>
        <w:tab/>
        <w:t xml:space="preserve">drugs.</w:t>
        <w:br w:type="textWrapping"/>
        <w:tab/>
        <w:t xml:space="preserve">6.2 </w:t>
        <w:tab/>
        <w:t xml:space="preserve">Board members must behave in a respectful and friendly manner towards </w:t>
        <w:br w:type="textWrapping"/>
        <w:tab/>
        <w:tab/>
        <w:t xml:space="preserve">members and other involved parties, such as sponsors or other board</w:t>
      </w:r>
      <w:r w:rsidDel="00000000" w:rsidR="00000000" w:rsidRPr="00000000">
        <w:rPr>
          <w:rtl w:val="0"/>
        </w:rPr>
        <w:t xml:space="preserv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1">
      <w:pPr>
        <w:spacing w:after="240" w:before="240" w:lineRule="auto"/>
        <w:rPr/>
      </w:pPr>
      <w:r w:rsidDel="00000000" w:rsidR="00000000" w:rsidRPr="00000000">
        <w:rPr>
          <w:b w:val="1"/>
          <w:rtl w:val="0"/>
        </w:rPr>
        <w:t xml:space="preserve">Article</w:t>
      </w:r>
      <w:r w:rsidDel="00000000" w:rsidR="00000000" w:rsidRPr="00000000">
        <w:rPr>
          <w:b w:val="1"/>
          <w:rtl w:val="0"/>
        </w:rPr>
        <w:t xml:space="preserve"> 7. Guidelines for Board Members While in Function</w:t>
        <w:br w:type="textWrapping"/>
        <w:tab/>
      </w:r>
      <w:r w:rsidDel="00000000" w:rsidR="00000000" w:rsidRPr="00000000">
        <w:rPr>
          <w:rtl w:val="0"/>
        </w:rPr>
        <w:t xml:space="preserve"> 7.1 </w:t>
        <w:tab/>
      </w:r>
      <w:r w:rsidDel="00000000" w:rsidR="00000000" w:rsidRPr="00000000">
        <w:rPr>
          <w:rtl w:val="0"/>
        </w:rPr>
        <w:t xml:space="preserve">Board members are expected to be present from start to finish at events and </w:t>
        <w:br w:type="textWrapping"/>
        <w:tab/>
        <w:tab/>
        <w:t xml:space="preserve">social gatherings.</w:t>
        <w:br w:type="textWrapping"/>
      </w:r>
      <w:r w:rsidDel="00000000" w:rsidR="00000000" w:rsidRPr="00000000">
        <w:rPr>
          <w:rtl w:val="0"/>
        </w:rPr>
        <w:t xml:space="preserve"> </w:t>
        <w:tab/>
        <w:t xml:space="preserve">7.2 </w:t>
        <w:tab/>
        <w:t xml:space="preserve">Board members are expected to be available for questions and/or comments </w:t>
        <w:br w:type="textWrapping"/>
        <w:tab/>
        <w:tab/>
        <w:t xml:space="preserve">from both members and non-members.</w:t>
      </w:r>
    </w:p>
    <w:p w:rsidR="00000000" w:rsidDel="00000000" w:rsidP="00000000" w:rsidRDefault="00000000" w:rsidRPr="00000000" w14:paraId="00000052">
      <w:pPr>
        <w:spacing w:after="240" w:before="240" w:lineRule="auto"/>
        <w:rPr/>
      </w:pPr>
      <w:r w:rsidDel="00000000" w:rsidR="00000000" w:rsidRPr="00000000">
        <w:rPr>
          <w:b w:val="1"/>
          <w:rtl w:val="0"/>
        </w:rPr>
        <w:t xml:space="preserve">Article 8. Guidelines for Board Members Outside Function</w:t>
        <w:br w:type="textWrapping"/>
        <w:tab/>
      </w:r>
      <w:r w:rsidDel="00000000" w:rsidR="00000000" w:rsidRPr="00000000">
        <w:rPr>
          <w:rtl w:val="0"/>
        </w:rPr>
        <w:t xml:space="preserve"> 8.1 </w:t>
        <w:tab/>
        <w:t xml:space="preserve">Board members are reasonably expected to remain available for questions </w:t>
        <w:br w:type="textWrapping"/>
        <w:tab/>
        <w:tab/>
        <w:t xml:space="preserve">and comments from members or other involved parties, even when not in </w:t>
        <w:br w:type="textWrapping"/>
        <w:tab/>
        <w:tab/>
        <w:t xml:space="preserve">function.</w:t>
        <w:br w:type="textWrapping"/>
        <w:tab/>
        <w:t xml:space="preserve"> 8.2 </w:t>
        <w:tab/>
        <w:t xml:space="preserve">The board also strives to maintain useful social contacts outside of their </w:t>
        <w:br w:type="textWrapping"/>
        <w:tab/>
        <w:tab/>
        <w:t xml:space="preserve">formal duties, such as fostering good relationships with lecturers and the </w:t>
        <w:br w:type="textWrapping"/>
        <w:tab/>
        <w:tab/>
        <w:t xml:space="preserve">university itself.</w:t>
      </w:r>
    </w:p>
    <w:sectPr>
      <w:footerReference r:id="rId7" w:type="defaul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